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110bis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R4-2405210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Changsha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China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15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 –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19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 xml:space="preserve">Simulation results for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eDSS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6.25.1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</w:t>
      </w:r>
      <w:r>
        <w:rPr>
          <w:rFonts w:hint="eastAsia"/>
          <w:szCs w:val="22"/>
          <w:lang w:val="en-US" w:eastAsia="zh-CN"/>
        </w:rPr>
        <w:t>eDSS requirements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PDCCH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meeting[2] conclusions, we summarized the following Table 2-1 for PDCCH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2-1.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Test parameters for PDCCH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7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Not-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DCI Format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1_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Payload (without CRC)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  <w:t>LTE CRS</w:t>
            </w: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 xml:space="preserve"> port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estimation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PDCCH CE only on clean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Antenna configuration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2x4, 4x2 for both FDD and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/>
              </w:rPr>
              <w:t>Channel model</w:t>
            </w:r>
          </w:p>
        </w:tc>
        <w:tc>
          <w:tcPr>
            <w:tcW w:w="7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TDLA30-10 and TDLC300-100</w:t>
            </w:r>
          </w:p>
        </w:tc>
      </w:tr>
    </w:tbl>
    <w:p>
      <w:pPr>
        <w:bidi w:val="0"/>
        <w:outlineLvl w:val="9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according to the RAN4#110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WF[2], the PDCCH simulation results are shown in following Table 2-2 and Figure 1.</w:t>
      </w: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9"/>
        <w:keepNext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 w:val="0"/>
          <w:bCs/>
          <w:highlight w:val="none"/>
          <w:lang w:val="en-US" w:eastAsia="zh-CN"/>
        </w:rPr>
        <w:t xml:space="preserve">Table 2-2. Simulation results for DSS </w:t>
      </w:r>
    </w:p>
    <w:tbl>
      <w:tblPr>
        <w:tblStyle w:val="23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914"/>
        <w:gridCol w:w="1138"/>
        <w:gridCol w:w="1134"/>
        <w:gridCol w:w="1372"/>
        <w:gridCol w:w="1130"/>
        <w:gridCol w:w="896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3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3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2" w:lineRule="auto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-4.2</w:t>
            </w:r>
          </w:p>
        </w:tc>
      </w:tr>
    </w:tbl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</w:pPr>
    </w:p>
    <w:tbl>
      <w:tblPr>
        <w:tblStyle w:val="23"/>
        <w:tblW w:w="9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9"/>
        <w:gridCol w:w="5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</w:trPr>
        <w:tc>
          <w:tcPr>
            <w:tcW w:w="4999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</w:p>
          <w:p>
            <w:pPr>
              <w:spacing w:before="0" w:after="0"/>
              <w:jc w:val="both"/>
            </w:pPr>
            <w:r>
              <w:drawing>
                <wp:inline distT="0" distB="0" distL="114300" distR="114300">
                  <wp:extent cx="3210560" cy="2409190"/>
                  <wp:effectExtent l="0" t="0" r="0" b="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0560" cy="2409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0" w:after="0"/>
              <w:ind w:firstLine="200" w:firstLineChars="100"/>
              <w:jc w:val="center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Figure 1-1. FDD </w:t>
            </w:r>
          </w:p>
        </w:tc>
        <w:tc>
          <w:tcPr>
            <w:tcW w:w="5000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</w:p>
          <w:p>
            <w:pPr>
              <w:numPr>
                <w:ilvl w:val="1"/>
                <w:numId w:val="0"/>
              </w:numPr>
              <w:ind w:leftChars="0" w:right="210" w:rightChars="100"/>
              <w:jc w:val="both"/>
              <w:outlineLvl w:val="9"/>
              <w:rPr>
                <w:rFonts w:hint="eastAsia" w:cs="宋体"/>
                <w:kern w:val="0"/>
                <w:sz w:val="20"/>
                <w:lang w:val="en-US" w:eastAsia="zh-CN"/>
              </w:rPr>
            </w:pPr>
            <w:r>
              <w:drawing>
                <wp:inline distT="0" distB="0" distL="114300" distR="114300">
                  <wp:extent cx="3239135" cy="2429510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135" cy="2429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Figure 1-2. TDD</w:t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Figure 1.  </w:t>
      </w:r>
      <w:r>
        <w:rPr>
          <w:u w:val="none"/>
          <w:lang w:val="en-GB"/>
        </w:rPr>
        <w:t>BLER-SNR curve</w:t>
      </w:r>
      <w:r>
        <w:rPr>
          <w:rFonts w:hint="eastAsia"/>
          <w:u w:val="none"/>
          <w:lang w:val="en-US" w:eastAsia="zh-CN"/>
        </w:rPr>
        <w:t>s for PDCCH</w:t>
      </w:r>
    </w:p>
    <w:p>
      <w:pPr>
        <w:widowControl w:val="0"/>
        <w:spacing w:beforeLines="100" w:afterLines="0" w:line="240" w:lineRule="auto"/>
        <w:jc w:val="left"/>
        <w:rPr>
          <w:rFonts w:hint="eastAsia" w:eastAsia="宋体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</w:t>
      </w:r>
      <w:r>
        <w:rPr>
          <w:rFonts w:hint="eastAsia"/>
          <w:bCs/>
          <w:kern w:val="0"/>
          <w:szCs w:val="21"/>
          <w:lang w:val="en-US" w:eastAsia="zh-CN"/>
        </w:rPr>
        <w:t xml:space="preserve"> simulation results</w:t>
      </w:r>
      <w:r>
        <w:rPr>
          <w:rFonts w:hint="eastAsia"/>
          <w:bCs/>
          <w:kern w:val="0"/>
          <w:szCs w:val="21"/>
        </w:rPr>
        <w:t xml:space="preserve"> for</w:t>
      </w:r>
      <w:r>
        <w:rPr>
          <w:rFonts w:hint="eastAsia"/>
          <w:bCs/>
          <w:kern w:val="0"/>
          <w:szCs w:val="21"/>
          <w:lang w:val="en-US" w:eastAsia="zh-CN"/>
        </w:rPr>
        <w:t xml:space="preserve"> enhancement of NR DSS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RP-221622, Revised WID on Enhancement of NR Dynamic spectrum sharing (DSS), RAN#96e.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R4-2402873. Way forward on [110][328] NR_DSS_enh. Ericsson.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R4-2321139. WF for Enhancement of Dynamic Spectrum Sharing demodulation requirements, Ericsson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000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151C1F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B5ADF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0936AE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D94230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725CE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BB37E9"/>
    <w:rsid w:val="19C456C1"/>
    <w:rsid w:val="19C608D9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33268E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6A1DB2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145B1"/>
    <w:rsid w:val="25F81D70"/>
    <w:rsid w:val="25FB5636"/>
    <w:rsid w:val="25FE58A9"/>
    <w:rsid w:val="26070462"/>
    <w:rsid w:val="260D2C45"/>
    <w:rsid w:val="2621570D"/>
    <w:rsid w:val="26235823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0968D8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6660E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97EAA"/>
    <w:rsid w:val="2A4D593F"/>
    <w:rsid w:val="2A555424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55773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3276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6141B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EF5677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1103E2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35E78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B530E9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02380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451940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0D18AC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007D0"/>
    <w:rsid w:val="4C3E7365"/>
    <w:rsid w:val="4C562920"/>
    <w:rsid w:val="4C5B7DD5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332212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CC7303"/>
    <w:rsid w:val="4FE30332"/>
    <w:rsid w:val="4FE70BB4"/>
    <w:rsid w:val="4FE73C01"/>
    <w:rsid w:val="4FE87C31"/>
    <w:rsid w:val="4FEA74B6"/>
    <w:rsid w:val="4FFE4ABD"/>
    <w:rsid w:val="500815B6"/>
    <w:rsid w:val="500B39BC"/>
    <w:rsid w:val="501B25B8"/>
    <w:rsid w:val="5022123F"/>
    <w:rsid w:val="50265171"/>
    <w:rsid w:val="502B7315"/>
    <w:rsid w:val="50322A8C"/>
    <w:rsid w:val="503F32CF"/>
    <w:rsid w:val="5041152A"/>
    <w:rsid w:val="50732DC6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4E7FEC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B758F"/>
    <w:rsid w:val="56DC2761"/>
    <w:rsid w:val="56E84A97"/>
    <w:rsid w:val="57011F3E"/>
    <w:rsid w:val="5705646B"/>
    <w:rsid w:val="57060649"/>
    <w:rsid w:val="57154E66"/>
    <w:rsid w:val="57197E55"/>
    <w:rsid w:val="572F7DD4"/>
    <w:rsid w:val="5732705F"/>
    <w:rsid w:val="57351D6F"/>
    <w:rsid w:val="57556ACC"/>
    <w:rsid w:val="576476C1"/>
    <w:rsid w:val="577B3337"/>
    <w:rsid w:val="577F3438"/>
    <w:rsid w:val="5784516D"/>
    <w:rsid w:val="578B3930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4C3448"/>
    <w:rsid w:val="5B5F300B"/>
    <w:rsid w:val="5B66707B"/>
    <w:rsid w:val="5B673066"/>
    <w:rsid w:val="5B785E83"/>
    <w:rsid w:val="5B7C1CD1"/>
    <w:rsid w:val="5B82056F"/>
    <w:rsid w:val="5B8E0DA3"/>
    <w:rsid w:val="5B9251EF"/>
    <w:rsid w:val="5B9914D0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63D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15CA9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3374C6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E33E63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C91446"/>
    <w:rsid w:val="68C920AF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CA7D9D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197535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1E336F"/>
    <w:rsid w:val="72254239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17A40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D0FAF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67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2024-04-08T11:54:03Z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